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jc w:val="center"/>
        <w:rPr>
          <w:rFonts w:hint="default" w:ascii="ＭＳ ゴシック" w:hAnsi="ＭＳ ゴシック" w:eastAsia="ＭＳ ゴシック"/>
          <w:b w:val="1"/>
          <w:color w:val="000000"/>
          <w:sz w:val="28"/>
        </w:rPr>
      </w:pPr>
      <w:bookmarkStart w:id="0" w:name="_Hlk92444934"/>
      <w:r>
        <w:rPr>
          <w:rFonts w:hint="eastAsia" w:ascii="ＭＳ ゴシック" w:hAnsi="ＭＳ ゴシック" w:eastAsia="ＭＳ ゴシック"/>
          <w:b w:val="1"/>
          <w:color w:val="000000"/>
          <w:sz w:val="28"/>
        </w:rPr>
        <w:t>公募型プロポーザル応募資格要件について</w:t>
      </w:r>
      <w:bookmarkEnd w:id="0"/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  <w:r>
        <w:rPr>
          <w:rFonts w:hint="eastAsia" w:ascii="ＭＳ 明朝" w:hAnsi="ＭＳ 明朝" w:eastAsia="ＭＳ 明朝"/>
          <w:color w:val="000000"/>
          <w:sz w:val="24"/>
        </w:rPr>
        <w:t>㊞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次の</w:t>
      </w:r>
      <w:r>
        <w:rPr>
          <w:rFonts w:hint="default" w:ascii="ＭＳ 明朝" w:hAnsi="ＭＳ 明朝" w:eastAsia="ＭＳ 明朝"/>
          <w:color w:val="000000"/>
          <w:sz w:val="24"/>
        </w:rPr>
        <w:t>業務のプロポーザル方式による</w:t>
      </w:r>
      <w:r>
        <w:rPr>
          <w:rFonts w:hint="eastAsia" w:ascii="ＭＳ 明朝" w:hAnsi="ＭＳ 明朝" w:eastAsia="ＭＳ 明朝"/>
          <w:color w:val="000000"/>
          <w:sz w:val="24"/>
        </w:rPr>
        <w:t>実施要領に記載されている４参加資格要件について、下記のとおり相違ありません。</w:t>
      </w:r>
    </w:p>
    <w:p>
      <w:pPr>
        <w:pStyle w:val="17"/>
        <w:spacing w:after="0" w:afterLines="0" w:afterAutospacing="0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5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業務名：新城市施設予約システム導入業務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31"/>
        <w:rPr>
          <w:rFonts w:hint="eastAsia"/>
          <w:sz w:val="24"/>
        </w:rPr>
      </w:pPr>
      <w:r>
        <w:rPr>
          <w:rFonts w:hint="default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overflowPunct w:val="0"/>
        <w:ind w:left="930" w:leftChars="100" w:hanging="720" w:hangingChars="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●本業務における令和６・７年度に新城市での競争入札参加資格を有しています。</w:t>
      </w:r>
    </w:p>
    <w:p>
      <w:pPr>
        <w:pStyle w:val="0"/>
        <w:overflowPunct w:val="0"/>
        <w:spacing w:line="360" w:lineRule="exact"/>
        <w:ind w:left="267" w:hanging="267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spacing w:line="360" w:lineRule="exact"/>
        <w:ind w:left="267" w:hanging="267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ind w:left="210" w:lef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●新城市請負契約に係る指名停止等の措置要綱（平成１７年１０月１日）に基づく指名停止の措置を</w:t>
      </w:r>
      <w:r>
        <w:rPr>
          <w:rFonts w:hint="default" w:asciiTheme="minorEastAsia" w:hAnsiTheme="minorEastAsia"/>
          <w:sz w:val="24"/>
        </w:rPr>
        <w:t>受けてい</w:t>
      </w:r>
      <w:r>
        <w:rPr>
          <w:rFonts w:hint="eastAsia" w:asciiTheme="minorEastAsia" w:hAnsiTheme="minorEastAsia"/>
          <w:sz w:val="24"/>
        </w:rPr>
        <w:t>ません。</w:t>
      </w:r>
    </w:p>
    <w:p>
      <w:pPr>
        <w:pStyle w:val="0"/>
        <w:overflowPunct w:val="0"/>
        <w:ind w:leftChars="0" w:firstLineChars="0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spacing w:line="360" w:lineRule="exact"/>
        <w:ind w:left="267" w:hanging="267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ind w:left="210" w:lef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●地方自治法施行令（昭和２２年号外政令第１６号）第１６７条の４第１項（同令第１６７条の１１第１項において準用する場合も含む。）の規定に該当しません。</w:t>
      </w:r>
    </w:p>
    <w:p>
      <w:pPr>
        <w:pStyle w:val="0"/>
        <w:overflowPunct w:val="0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spacing w:line="360" w:lineRule="exact"/>
        <w:ind w:left="267" w:hanging="267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ind w:left="267" w:hanging="267"/>
        <w:rPr>
          <w:rFonts w:hint="default" w:ascii="ＭＳ 明朝" w:hAnsi="ＭＳ 明朝" w:eastAsia="ＭＳ 明朝"/>
          <w:color w:val="000000"/>
          <w:sz w:val="24"/>
        </w:rPr>
      </w:pPr>
      <w:bookmarkStart w:id="1" w:name="_GoBack"/>
      <w:bookmarkEnd w:id="1"/>
    </w:p>
    <w:sectPr>
      <w:headerReference r:id="rId5" w:type="default"/>
      <w:pgSz w:w="11906" w:h="16838"/>
      <w:pgMar w:top="1134" w:right="1049" w:bottom="1134" w:left="1474" w:header="567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left"/>
      <w:rPr>
        <w:rFonts w:hint="eastAsia"/>
        <w:sz w:val="24"/>
      </w:rPr>
    </w:pPr>
    <w:r>
      <w:rPr>
        <w:rFonts w:hint="eastAsia"/>
        <w:sz w:val="24"/>
      </w:rPr>
      <w:t>様式第２号別紙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color w:val="000000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color w:val="000000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285</Characters>
  <Application>JUST Note</Application>
  <Lines>28</Lines>
  <Paragraphs>13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2021-12-26T09:43:00Z</dcterms:created>
  <dcterms:modified xsi:type="dcterms:W3CDTF">2024-04-01T08:09:34Z</dcterms:modified>
  <cp:revision>1</cp:revision>
</cp:coreProperties>
</file>